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right"/>
        <w:rPr>
          <w:rFonts w:ascii="宋体" w:hAnsi="宋体"/>
          <w:sz w:val="24"/>
        </w:rPr>
      </w:pPr>
    </w:p>
    <w:p>
      <w:pPr>
        <w:autoSpaceDE w:val="0"/>
        <w:autoSpaceDN w:val="0"/>
        <w:adjustRightInd w:val="0"/>
        <w:jc w:val="center"/>
        <w:rPr>
          <w:rFonts w:ascii="宋体" w:hAnsi="宋体"/>
          <w:b/>
          <w:kern w:val="0"/>
          <w:sz w:val="44"/>
          <w:szCs w:val="44"/>
        </w:rPr>
      </w:pPr>
      <w:r>
        <w:rPr>
          <w:rFonts w:hint="eastAsia" w:ascii="宋体" w:hAnsi="宋体"/>
          <w:b/>
          <w:kern w:val="0"/>
          <w:sz w:val="44"/>
          <w:szCs w:val="44"/>
        </w:rPr>
        <w:t>梅州市嘉应粮食交易中心有限公司</w:t>
      </w:r>
    </w:p>
    <w:p>
      <w:pPr>
        <w:autoSpaceDE w:val="0"/>
        <w:autoSpaceDN w:val="0"/>
        <w:adjustRightInd w:val="0"/>
        <w:jc w:val="center"/>
        <w:rPr>
          <w:rFonts w:ascii="宋体" w:hAnsi="宋体"/>
          <w:b/>
          <w:kern w:val="0"/>
          <w:sz w:val="44"/>
          <w:szCs w:val="44"/>
        </w:rPr>
      </w:pPr>
      <w:r>
        <w:rPr>
          <w:rFonts w:hint="eastAsia" w:ascii="宋体" w:hAnsi="宋体"/>
          <w:b/>
          <w:kern w:val="0"/>
          <w:sz w:val="44"/>
          <w:szCs w:val="44"/>
        </w:rPr>
        <w:t xml:space="preserve"> 粮食竞价采购交易合同</w:t>
      </w:r>
    </w:p>
    <w:p>
      <w:pPr>
        <w:autoSpaceDE w:val="0"/>
        <w:autoSpaceDN w:val="0"/>
        <w:adjustRightInd w:val="0"/>
        <w:rPr>
          <w:rFonts w:ascii="宋体" w:hAnsi="宋体"/>
          <w:kern w:val="0"/>
          <w:sz w:val="28"/>
        </w:rPr>
      </w:pPr>
      <w:r>
        <w:rPr>
          <w:rFonts w:hint="eastAsia" w:ascii="宋体" w:hAnsi="宋体"/>
          <w:kern w:val="0"/>
          <w:sz w:val="28"/>
        </w:rPr>
        <w:t>合同编号：</w:t>
      </w:r>
    </w:p>
    <w:p>
      <w:pPr>
        <w:autoSpaceDE w:val="0"/>
        <w:autoSpaceDN w:val="0"/>
        <w:adjustRightInd w:val="0"/>
        <w:rPr>
          <w:rFonts w:ascii="宋体" w:hAnsi="宋体"/>
          <w:kern w:val="0"/>
          <w:sz w:val="28"/>
        </w:rPr>
      </w:pPr>
      <w:r>
        <w:rPr>
          <w:rFonts w:hint="eastAsia" w:ascii="宋体" w:hAnsi="宋体"/>
          <w:kern w:val="0"/>
          <w:sz w:val="28"/>
        </w:rPr>
        <w:t>买方全称：梅州市嘉泰粮食和物资储备有限公司</w:t>
      </w:r>
    </w:p>
    <w:p>
      <w:pPr>
        <w:autoSpaceDE w:val="0"/>
        <w:autoSpaceDN w:val="0"/>
        <w:adjustRightInd w:val="0"/>
        <w:rPr>
          <w:rFonts w:ascii="宋体" w:hAnsi="宋体"/>
          <w:kern w:val="0"/>
          <w:sz w:val="28"/>
        </w:rPr>
      </w:pPr>
      <w:r>
        <w:rPr>
          <w:rFonts w:hint="eastAsia" w:ascii="宋体" w:hAnsi="宋体"/>
          <w:kern w:val="0"/>
          <w:sz w:val="28"/>
        </w:rPr>
        <w:t>卖方全称：</w:t>
      </w:r>
    </w:p>
    <w:p>
      <w:pPr>
        <w:autoSpaceDE w:val="0"/>
        <w:autoSpaceDN w:val="0"/>
        <w:adjustRightInd w:val="0"/>
        <w:rPr>
          <w:rFonts w:ascii="宋体" w:hAnsi="宋体"/>
          <w:kern w:val="0"/>
          <w:sz w:val="24"/>
        </w:rPr>
      </w:pPr>
      <w:r>
        <w:rPr>
          <w:rFonts w:hint="eastAsia" w:ascii="宋体" w:hAnsi="宋体"/>
          <w:kern w:val="0"/>
          <w:sz w:val="24"/>
        </w:rPr>
        <w:t xml:space="preserve"> 一</w:t>
      </w:r>
      <w:r>
        <w:rPr>
          <w:rFonts w:hint="eastAsia" w:ascii="宋体" w:hAnsi="宋体"/>
          <w:b/>
          <w:bCs/>
          <w:kern w:val="0"/>
          <w:sz w:val="24"/>
        </w:rPr>
        <w:t>、成交标的</w:t>
      </w:r>
      <w:r>
        <w:rPr>
          <w:rFonts w:hint="eastAsia" w:ascii="宋体" w:hAnsi="宋体"/>
          <w:kern w:val="0"/>
          <w:sz w:val="24"/>
        </w:rPr>
        <w:t xml:space="preserve">（见下表）                                  单位：元、吨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2200"/>
        <w:gridCol w:w="1276"/>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pPr>
              <w:pStyle w:val="3"/>
              <w:spacing w:line="240" w:lineRule="auto"/>
              <w:ind w:firstLine="0" w:firstLineChars="0"/>
              <w:rPr>
                <w:rFonts w:ascii="宋体" w:hAnsi="宋体" w:eastAsia="宋体"/>
                <w:b/>
                <w:bCs/>
                <w:kern w:val="2"/>
                <w:sz w:val="24"/>
              </w:rPr>
            </w:pPr>
            <w:r>
              <w:rPr>
                <w:rFonts w:hint="eastAsia" w:ascii="宋体" w:hAnsi="宋体" w:eastAsia="宋体"/>
                <w:b/>
                <w:bCs/>
                <w:kern w:val="2"/>
                <w:sz w:val="24"/>
              </w:rPr>
              <w:t>标的号</w:t>
            </w:r>
          </w:p>
        </w:tc>
        <w:tc>
          <w:tcPr>
            <w:tcW w:w="2200" w:type="dxa"/>
            <w:tcBorders>
              <w:top w:val="single" w:color="auto" w:sz="4" w:space="0"/>
              <w:left w:val="single" w:color="auto" w:sz="4" w:space="0"/>
              <w:bottom w:val="single" w:color="auto" w:sz="4" w:space="0"/>
              <w:right w:val="single" w:color="auto" w:sz="4" w:space="0"/>
            </w:tcBorders>
            <w:vAlign w:val="center"/>
          </w:tcPr>
          <w:p>
            <w:pPr>
              <w:pStyle w:val="3"/>
              <w:spacing w:line="240" w:lineRule="auto"/>
              <w:ind w:firstLine="0" w:firstLineChars="0"/>
              <w:rPr>
                <w:rFonts w:ascii="宋体" w:hAnsi="宋体" w:eastAsia="宋体"/>
                <w:kern w:val="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3"/>
              <w:spacing w:line="240" w:lineRule="auto"/>
              <w:ind w:firstLine="0" w:firstLineChars="0"/>
              <w:rPr>
                <w:rFonts w:ascii="宋体" w:hAnsi="宋体" w:eastAsia="宋体"/>
                <w:b/>
                <w:bCs/>
                <w:kern w:val="2"/>
                <w:sz w:val="24"/>
              </w:rPr>
            </w:pPr>
            <w:r>
              <w:rPr>
                <w:rFonts w:hint="eastAsia" w:ascii="宋体" w:hAnsi="宋体" w:eastAsia="宋体"/>
                <w:b/>
                <w:bCs/>
                <w:kern w:val="2"/>
                <w:sz w:val="24"/>
              </w:rPr>
              <w:t>生产年度</w:t>
            </w:r>
          </w:p>
        </w:tc>
        <w:tc>
          <w:tcPr>
            <w:tcW w:w="3827" w:type="dxa"/>
            <w:tcBorders>
              <w:top w:val="single" w:color="auto" w:sz="4" w:space="0"/>
              <w:left w:val="single" w:color="auto" w:sz="4" w:space="0"/>
              <w:bottom w:val="single" w:color="auto" w:sz="4" w:space="0"/>
              <w:right w:val="single" w:color="auto" w:sz="4" w:space="0"/>
            </w:tcBorders>
            <w:vAlign w:val="center"/>
          </w:tcPr>
          <w:p>
            <w:pPr>
              <w:pStyle w:val="3"/>
              <w:spacing w:line="240" w:lineRule="auto"/>
              <w:ind w:firstLine="0" w:firstLineChars="0"/>
              <w:rPr>
                <w:rFonts w:ascii="宋体" w:hAnsi="宋体" w:eastAsia="宋体"/>
                <w:kern w:val="2"/>
                <w:sz w:val="24"/>
              </w:rPr>
            </w:pPr>
            <w:r>
              <w:rPr>
                <w:rFonts w:hint="eastAsia" w:ascii="宋体" w:hAnsi="宋体" w:eastAsia="宋体"/>
                <w:kern w:val="2"/>
                <w:sz w:val="24"/>
              </w:rPr>
              <w:t>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pPr>
              <w:pStyle w:val="3"/>
              <w:spacing w:line="240" w:lineRule="auto"/>
              <w:ind w:firstLine="0" w:firstLineChars="0"/>
              <w:rPr>
                <w:rFonts w:ascii="宋体" w:hAnsi="宋体" w:eastAsia="宋体"/>
                <w:b/>
                <w:bCs/>
                <w:kern w:val="2"/>
                <w:sz w:val="24"/>
              </w:rPr>
            </w:pPr>
            <w:r>
              <w:rPr>
                <w:rFonts w:hint="eastAsia" w:ascii="宋体" w:hAnsi="宋体" w:eastAsia="宋体"/>
                <w:b/>
                <w:bCs/>
                <w:kern w:val="2"/>
                <w:sz w:val="24"/>
              </w:rPr>
              <w:t>品种</w:t>
            </w:r>
          </w:p>
        </w:tc>
        <w:tc>
          <w:tcPr>
            <w:tcW w:w="2200" w:type="dxa"/>
            <w:tcBorders>
              <w:top w:val="single" w:color="auto" w:sz="4" w:space="0"/>
              <w:left w:val="single" w:color="auto" w:sz="4" w:space="0"/>
              <w:bottom w:val="single" w:color="auto" w:sz="4" w:space="0"/>
              <w:right w:val="single" w:color="auto" w:sz="4" w:space="0"/>
            </w:tcBorders>
            <w:vAlign w:val="center"/>
          </w:tcPr>
          <w:p>
            <w:pPr>
              <w:pStyle w:val="3"/>
              <w:spacing w:line="240" w:lineRule="auto"/>
              <w:ind w:firstLine="0" w:firstLineChars="0"/>
              <w:rPr>
                <w:rFonts w:ascii="宋体" w:hAnsi="宋体" w:eastAsia="宋体"/>
                <w:kern w:val="2"/>
                <w:sz w:val="24"/>
              </w:rPr>
            </w:pPr>
            <w:r>
              <w:rPr>
                <w:rFonts w:hint="eastAsia" w:ascii="宋体" w:hAnsi="宋体" w:eastAsia="宋体"/>
                <w:kern w:val="2"/>
                <w:sz w:val="24"/>
              </w:rPr>
              <w:t>白麦</w:t>
            </w:r>
          </w:p>
        </w:tc>
        <w:tc>
          <w:tcPr>
            <w:tcW w:w="1276" w:type="dxa"/>
            <w:tcBorders>
              <w:top w:val="single" w:color="auto" w:sz="4" w:space="0"/>
              <w:left w:val="single" w:color="auto" w:sz="4" w:space="0"/>
              <w:bottom w:val="single" w:color="auto" w:sz="4" w:space="0"/>
              <w:right w:val="single" w:color="auto" w:sz="4" w:space="0"/>
            </w:tcBorders>
            <w:vAlign w:val="center"/>
          </w:tcPr>
          <w:p>
            <w:pPr>
              <w:pStyle w:val="3"/>
              <w:spacing w:line="240" w:lineRule="auto"/>
              <w:ind w:firstLine="0" w:firstLineChars="0"/>
              <w:rPr>
                <w:rFonts w:ascii="宋体" w:hAnsi="宋体" w:eastAsia="宋体"/>
                <w:b/>
                <w:bCs/>
                <w:kern w:val="2"/>
                <w:sz w:val="24"/>
              </w:rPr>
            </w:pPr>
            <w:r>
              <w:rPr>
                <w:rFonts w:hint="eastAsia" w:ascii="宋体" w:hAnsi="宋体" w:eastAsia="宋体"/>
                <w:b/>
                <w:bCs/>
                <w:kern w:val="2"/>
                <w:sz w:val="24"/>
              </w:rPr>
              <w:t>数量</w:t>
            </w:r>
          </w:p>
        </w:tc>
        <w:tc>
          <w:tcPr>
            <w:tcW w:w="3827" w:type="dxa"/>
            <w:tcBorders>
              <w:top w:val="single" w:color="auto" w:sz="4" w:space="0"/>
              <w:left w:val="single" w:color="auto" w:sz="4" w:space="0"/>
              <w:bottom w:val="single" w:color="auto" w:sz="4" w:space="0"/>
              <w:right w:val="single" w:color="auto" w:sz="4" w:space="0"/>
            </w:tcBorders>
            <w:vAlign w:val="center"/>
          </w:tcPr>
          <w:p>
            <w:pPr>
              <w:pStyle w:val="3"/>
              <w:spacing w:line="240" w:lineRule="auto"/>
              <w:ind w:firstLine="0" w:firstLineChars="0"/>
              <w:rPr>
                <w:rFonts w:ascii="宋体" w:hAnsi="宋体" w:eastAsia="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pPr>
              <w:pStyle w:val="3"/>
              <w:spacing w:line="240" w:lineRule="auto"/>
              <w:ind w:firstLine="0" w:firstLineChars="0"/>
              <w:rPr>
                <w:rFonts w:ascii="宋体" w:hAnsi="宋体" w:eastAsia="宋体"/>
                <w:b/>
                <w:bCs/>
                <w:kern w:val="2"/>
                <w:sz w:val="24"/>
              </w:rPr>
            </w:pPr>
            <w:r>
              <w:rPr>
                <w:rFonts w:hint="eastAsia" w:ascii="宋体" w:hAnsi="宋体" w:eastAsia="宋体"/>
                <w:b/>
                <w:bCs/>
                <w:kern w:val="2"/>
                <w:sz w:val="24"/>
              </w:rPr>
              <w:t>等级</w:t>
            </w:r>
          </w:p>
        </w:tc>
        <w:tc>
          <w:tcPr>
            <w:tcW w:w="2200" w:type="dxa"/>
            <w:tcBorders>
              <w:top w:val="single" w:color="auto" w:sz="4" w:space="0"/>
              <w:left w:val="single" w:color="auto" w:sz="4" w:space="0"/>
              <w:bottom w:val="single" w:color="auto" w:sz="4" w:space="0"/>
              <w:right w:val="single" w:color="auto" w:sz="4" w:space="0"/>
            </w:tcBorders>
            <w:vAlign w:val="center"/>
          </w:tcPr>
          <w:p>
            <w:pPr>
              <w:pStyle w:val="3"/>
              <w:spacing w:line="240" w:lineRule="auto"/>
              <w:ind w:firstLine="0" w:firstLineChars="0"/>
              <w:rPr>
                <w:rFonts w:ascii="宋体" w:hAnsi="宋体" w:eastAsia="宋体"/>
                <w:kern w:val="2"/>
                <w:sz w:val="24"/>
              </w:rPr>
            </w:pPr>
            <w:r>
              <w:rPr>
                <w:rFonts w:hint="eastAsia" w:ascii="宋体" w:hAnsi="宋体" w:eastAsia="宋体"/>
                <w:kern w:val="2"/>
                <w:sz w:val="24"/>
              </w:rPr>
              <w:t>二级</w:t>
            </w:r>
          </w:p>
        </w:tc>
        <w:tc>
          <w:tcPr>
            <w:tcW w:w="1276" w:type="dxa"/>
            <w:tcBorders>
              <w:top w:val="single" w:color="auto" w:sz="4" w:space="0"/>
              <w:left w:val="single" w:color="auto" w:sz="4" w:space="0"/>
              <w:bottom w:val="single" w:color="auto" w:sz="4" w:space="0"/>
              <w:right w:val="single" w:color="auto" w:sz="4" w:space="0"/>
            </w:tcBorders>
            <w:vAlign w:val="center"/>
          </w:tcPr>
          <w:p>
            <w:pPr>
              <w:pStyle w:val="3"/>
              <w:spacing w:line="240" w:lineRule="auto"/>
              <w:ind w:firstLine="0" w:firstLineChars="0"/>
              <w:rPr>
                <w:rFonts w:ascii="宋体" w:hAnsi="宋体" w:eastAsia="宋体"/>
                <w:b/>
                <w:bCs/>
                <w:kern w:val="2"/>
                <w:sz w:val="24"/>
              </w:rPr>
            </w:pPr>
            <w:r>
              <w:rPr>
                <w:rFonts w:hint="eastAsia" w:ascii="宋体" w:hAnsi="宋体" w:eastAsia="宋体"/>
                <w:b/>
                <w:bCs/>
                <w:kern w:val="2"/>
                <w:sz w:val="24"/>
              </w:rPr>
              <w:t>单价</w:t>
            </w:r>
          </w:p>
        </w:tc>
        <w:tc>
          <w:tcPr>
            <w:tcW w:w="3827" w:type="dxa"/>
            <w:tcBorders>
              <w:top w:val="single" w:color="auto" w:sz="4" w:space="0"/>
              <w:left w:val="single" w:color="auto" w:sz="4" w:space="0"/>
              <w:bottom w:val="single" w:color="auto" w:sz="4" w:space="0"/>
              <w:right w:val="single" w:color="auto" w:sz="4" w:space="0"/>
            </w:tcBorders>
            <w:vAlign w:val="center"/>
          </w:tcPr>
          <w:p>
            <w:pPr>
              <w:pStyle w:val="3"/>
              <w:spacing w:line="240" w:lineRule="auto"/>
              <w:ind w:firstLine="0" w:firstLineChars="0"/>
              <w:rPr>
                <w:rFonts w:ascii="宋体" w:hAnsi="宋体" w:eastAsia="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pPr>
              <w:pStyle w:val="3"/>
              <w:spacing w:line="240" w:lineRule="auto"/>
              <w:ind w:firstLine="0" w:firstLineChars="0"/>
              <w:rPr>
                <w:rFonts w:ascii="宋体" w:hAnsi="宋体" w:eastAsia="宋体"/>
                <w:b/>
                <w:bCs/>
                <w:kern w:val="2"/>
                <w:sz w:val="24"/>
              </w:rPr>
            </w:pPr>
            <w:r>
              <w:rPr>
                <w:rFonts w:hint="eastAsia" w:ascii="宋体" w:hAnsi="宋体" w:eastAsia="宋体"/>
                <w:b/>
                <w:bCs/>
                <w:kern w:val="2"/>
                <w:sz w:val="24"/>
              </w:rPr>
              <w:t>产地</w:t>
            </w:r>
          </w:p>
        </w:tc>
        <w:tc>
          <w:tcPr>
            <w:tcW w:w="2200" w:type="dxa"/>
            <w:tcBorders>
              <w:top w:val="single" w:color="auto" w:sz="4" w:space="0"/>
              <w:left w:val="single" w:color="auto" w:sz="4" w:space="0"/>
              <w:bottom w:val="single" w:color="auto" w:sz="4" w:space="0"/>
              <w:right w:val="single" w:color="auto" w:sz="4" w:space="0"/>
            </w:tcBorders>
            <w:vAlign w:val="center"/>
          </w:tcPr>
          <w:p>
            <w:pPr>
              <w:pStyle w:val="3"/>
              <w:spacing w:line="240" w:lineRule="auto"/>
              <w:ind w:firstLine="0" w:firstLineChars="0"/>
              <w:rPr>
                <w:rFonts w:ascii="宋体" w:hAnsi="宋体" w:eastAsia="宋体"/>
                <w:kern w:val="2"/>
                <w:sz w:val="24"/>
              </w:rPr>
            </w:pPr>
            <w:r>
              <w:rPr>
                <w:rFonts w:hint="eastAsia" w:ascii="宋体" w:hAnsi="宋体" w:eastAsia="宋体"/>
                <w:kern w:val="2"/>
                <w:sz w:val="24"/>
              </w:rPr>
              <w:t>江苏、安徽、山东、河南、河北。</w:t>
            </w:r>
          </w:p>
        </w:tc>
        <w:tc>
          <w:tcPr>
            <w:tcW w:w="1276" w:type="dxa"/>
            <w:tcBorders>
              <w:top w:val="single" w:color="auto" w:sz="4" w:space="0"/>
              <w:left w:val="single" w:color="auto" w:sz="4" w:space="0"/>
              <w:bottom w:val="single" w:color="auto" w:sz="4" w:space="0"/>
              <w:right w:val="single" w:color="auto" w:sz="4" w:space="0"/>
            </w:tcBorders>
            <w:vAlign w:val="center"/>
          </w:tcPr>
          <w:p>
            <w:pPr>
              <w:pStyle w:val="3"/>
              <w:spacing w:line="240" w:lineRule="auto"/>
              <w:ind w:firstLine="0" w:firstLineChars="0"/>
              <w:rPr>
                <w:rFonts w:ascii="宋体" w:hAnsi="宋体" w:eastAsia="宋体"/>
                <w:b/>
                <w:bCs/>
                <w:kern w:val="2"/>
                <w:sz w:val="24"/>
              </w:rPr>
            </w:pPr>
            <w:r>
              <w:rPr>
                <w:rFonts w:hint="eastAsia" w:ascii="宋体" w:hAnsi="宋体" w:eastAsia="宋体"/>
                <w:b/>
                <w:bCs/>
                <w:kern w:val="2"/>
                <w:sz w:val="24"/>
              </w:rPr>
              <w:t>总金额</w:t>
            </w:r>
          </w:p>
        </w:tc>
        <w:tc>
          <w:tcPr>
            <w:tcW w:w="3827" w:type="dxa"/>
            <w:tcBorders>
              <w:top w:val="single" w:color="auto" w:sz="4" w:space="0"/>
              <w:left w:val="single" w:color="auto" w:sz="4" w:space="0"/>
              <w:bottom w:val="single" w:color="auto" w:sz="4" w:space="0"/>
              <w:right w:val="single" w:color="auto" w:sz="4" w:space="0"/>
            </w:tcBorders>
            <w:vAlign w:val="center"/>
          </w:tcPr>
          <w:p>
            <w:pPr>
              <w:pStyle w:val="3"/>
              <w:spacing w:line="240" w:lineRule="auto"/>
              <w:ind w:firstLine="0" w:firstLineChars="0"/>
              <w:rPr>
                <w:rFonts w:ascii="宋体" w:hAnsi="宋体" w:eastAsia="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pPr>
              <w:pStyle w:val="3"/>
              <w:spacing w:line="240" w:lineRule="auto"/>
              <w:ind w:firstLine="0" w:firstLineChars="0"/>
              <w:rPr>
                <w:rFonts w:ascii="宋体" w:hAnsi="宋体" w:eastAsia="宋体"/>
                <w:b/>
                <w:bCs/>
                <w:kern w:val="2"/>
                <w:sz w:val="24"/>
              </w:rPr>
            </w:pPr>
            <w:r>
              <w:rPr>
                <w:rFonts w:hint="eastAsia" w:ascii="宋体" w:hAnsi="宋体" w:eastAsia="宋体"/>
                <w:b/>
                <w:bCs/>
                <w:kern w:val="2"/>
                <w:sz w:val="24"/>
              </w:rPr>
              <w:t>交货方式</w:t>
            </w:r>
          </w:p>
        </w:tc>
        <w:tc>
          <w:tcPr>
            <w:tcW w:w="7303" w:type="dxa"/>
            <w:gridSpan w:val="3"/>
            <w:tcBorders>
              <w:top w:val="single" w:color="auto" w:sz="4" w:space="0"/>
              <w:left w:val="single" w:color="auto" w:sz="4" w:space="0"/>
              <w:bottom w:val="single" w:color="auto" w:sz="4" w:space="0"/>
              <w:right w:val="single" w:color="auto" w:sz="4" w:space="0"/>
            </w:tcBorders>
            <w:vAlign w:val="center"/>
          </w:tcPr>
          <w:p>
            <w:pPr>
              <w:pStyle w:val="3"/>
              <w:spacing w:line="240" w:lineRule="auto"/>
              <w:ind w:firstLine="0" w:firstLineChars="0"/>
              <w:rPr>
                <w:rFonts w:ascii="宋体" w:hAnsi="宋体" w:eastAsia="宋体"/>
                <w:kern w:val="2"/>
                <w:sz w:val="21"/>
                <w:szCs w:val="21"/>
              </w:rPr>
            </w:pPr>
            <w:r>
              <w:rPr>
                <w:rFonts w:hint="eastAsia" w:ascii="宋体" w:hAnsi="宋体" w:eastAsia="宋体"/>
                <w:kern w:val="2"/>
                <w:sz w:val="21"/>
                <w:szCs w:val="21"/>
              </w:rPr>
              <w:t>仓库车板交货。买方组织搬运人员，搬运装卸费、粮面整平费等费用由买方负责。买方向卖方收取30元/吨的入仓服务费，按仓库工作时间入仓。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pPr>
              <w:pStyle w:val="3"/>
              <w:spacing w:line="240" w:lineRule="auto"/>
              <w:ind w:firstLine="0" w:firstLineChars="0"/>
              <w:rPr>
                <w:rFonts w:ascii="宋体" w:hAnsi="宋体" w:eastAsia="宋体"/>
                <w:b/>
                <w:bCs/>
                <w:kern w:val="2"/>
                <w:sz w:val="24"/>
              </w:rPr>
            </w:pPr>
            <w:r>
              <w:rPr>
                <w:rFonts w:hint="eastAsia" w:ascii="宋体" w:hAnsi="宋体" w:eastAsia="宋体"/>
                <w:b/>
                <w:bCs/>
                <w:kern w:val="2"/>
                <w:sz w:val="24"/>
              </w:rPr>
              <w:t>交货期限</w:t>
            </w:r>
          </w:p>
        </w:tc>
        <w:tc>
          <w:tcPr>
            <w:tcW w:w="7303" w:type="dxa"/>
            <w:gridSpan w:val="3"/>
            <w:tcBorders>
              <w:top w:val="single" w:color="auto" w:sz="4" w:space="0"/>
              <w:left w:val="single" w:color="auto" w:sz="4" w:space="0"/>
              <w:bottom w:val="single" w:color="auto" w:sz="4" w:space="0"/>
              <w:right w:val="single" w:color="auto" w:sz="4" w:space="0"/>
            </w:tcBorders>
            <w:vAlign w:val="center"/>
          </w:tcPr>
          <w:p>
            <w:pPr>
              <w:pStyle w:val="3"/>
              <w:spacing w:line="240" w:lineRule="auto"/>
              <w:ind w:firstLine="0" w:firstLineChars="0"/>
              <w:rPr>
                <w:rFonts w:ascii="宋体" w:hAnsi="宋体" w:eastAsia="宋体"/>
                <w:kern w:val="2"/>
                <w:sz w:val="21"/>
                <w:szCs w:val="21"/>
              </w:rPr>
            </w:pPr>
            <w:r>
              <w:rPr>
                <w:rFonts w:hint="eastAsia" w:ascii="宋体" w:hAnsi="宋体" w:eastAsia="宋体"/>
                <w:kern w:val="2"/>
                <w:sz w:val="21"/>
                <w:szCs w:val="21"/>
              </w:rPr>
              <w:t>2022.XX.XXX—2022.XXX.XXX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pPr>
              <w:pStyle w:val="3"/>
              <w:spacing w:line="240" w:lineRule="auto"/>
              <w:ind w:firstLine="0" w:firstLineChars="0"/>
              <w:rPr>
                <w:rFonts w:ascii="宋体" w:hAnsi="宋体" w:eastAsia="宋体"/>
                <w:b/>
                <w:bCs/>
                <w:kern w:val="2"/>
                <w:sz w:val="24"/>
              </w:rPr>
            </w:pPr>
            <w:r>
              <w:rPr>
                <w:rFonts w:hint="eastAsia" w:ascii="宋体" w:hAnsi="宋体" w:eastAsia="宋体"/>
                <w:b/>
                <w:bCs/>
                <w:kern w:val="2"/>
                <w:sz w:val="24"/>
              </w:rPr>
              <w:t>存放地点</w:t>
            </w:r>
          </w:p>
        </w:tc>
        <w:tc>
          <w:tcPr>
            <w:tcW w:w="7303" w:type="dxa"/>
            <w:gridSpan w:val="3"/>
            <w:tcBorders>
              <w:top w:val="single" w:color="auto" w:sz="4" w:space="0"/>
              <w:left w:val="single" w:color="auto" w:sz="4" w:space="0"/>
              <w:bottom w:val="single" w:color="auto" w:sz="4" w:space="0"/>
              <w:right w:val="single" w:color="auto" w:sz="4" w:space="0"/>
            </w:tcBorders>
            <w:vAlign w:val="center"/>
          </w:tcPr>
          <w:p>
            <w:pPr>
              <w:pStyle w:val="3"/>
              <w:spacing w:line="240" w:lineRule="auto"/>
              <w:ind w:firstLine="0" w:firstLineChars="0"/>
              <w:rPr>
                <w:rFonts w:ascii="宋体" w:hAnsi="宋体" w:eastAsia="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pPr>
              <w:pStyle w:val="3"/>
              <w:spacing w:line="240" w:lineRule="auto"/>
              <w:ind w:firstLine="0" w:firstLineChars="0"/>
              <w:rPr>
                <w:rFonts w:ascii="宋体" w:hAnsi="宋体" w:eastAsia="宋体"/>
                <w:b/>
                <w:bCs/>
                <w:kern w:val="2"/>
                <w:sz w:val="24"/>
              </w:rPr>
            </w:pPr>
            <w:r>
              <w:rPr>
                <w:rFonts w:hint="eastAsia" w:ascii="宋体" w:hAnsi="宋体" w:eastAsia="宋体"/>
                <w:b/>
                <w:bCs/>
                <w:kern w:val="2"/>
                <w:sz w:val="24"/>
              </w:rPr>
              <w:t>包装要求</w:t>
            </w:r>
          </w:p>
        </w:tc>
        <w:tc>
          <w:tcPr>
            <w:tcW w:w="7303" w:type="dxa"/>
            <w:gridSpan w:val="3"/>
            <w:tcBorders>
              <w:top w:val="single" w:color="auto" w:sz="4" w:space="0"/>
              <w:left w:val="single" w:color="auto" w:sz="4" w:space="0"/>
              <w:bottom w:val="single" w:color="auto" w:sz="4" w:space="0"/>
              <w:right w:val="single" w:color="auto" w:sz="4" w:space="0"/>
            </w:tcBorders>
            <w:vAlign w:val="center"/>
          </w:tcPr>
          <w:p>
            <w:pPr>
              <w:pStyle w:val="3"/>
              <w:spacing w:line="240" w:lineRule="auto"/>
              <w:ind w:firstLine="0" w:firstLineChars="0"/>
              <w:rPr>
                <w:rFonts w:ascii="宋体" w:hAnsi="宋体" w:eastAsia="宋体"/>
                <w:sz w:val="24"/>
              </w:rPr>
            </w:pPr>
            <w:r>
              <w:rPr>
                <w:rFonts w:hint="eastAsia" w:ascii="宋体" w:hAnsi="宋体" w:eastAsia="宋体"/>
                <w:sz w:val="24"/>
              </w:rPr>
              <w:t>仓内散储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pPr>
              <w:pStyle w:val="3"/>
              <w:spacing w:line="240" w:lineRule="auto"/>
              <w:ind w:firstLine="0" w:firstLineChars="0"/>
              <w:rPr>
                <w:rFonts w:ascii="宋体" w:hAnsi="宋体" w:eastAsia="宋体"/>
                <w:b/>
                <w:bCs/>
                <w:kern w:val="2"/>
                <w:sz w:val="24"/>
              </w:rPr>
            </w:pPr>
            <w:r>
              <w:rPr>
                <w:rFonts w:hint="eastAsia" w:ascii="宋体" w:hAnsi="宋体" w:eastAsia="宋体"/>
                <w:b/>
                <w:bCs/>
                <w:kern w:val="2"/>
                <w:sz w:val="24"/>
              </w:rPr>
              <w:t>质量标准</w:t>
            </w:r>
          </w:p>
        </w:tc>
        <w:tc>
          <w:tcPr>
            <w:tcW w:w="7303" w:type="dxa"/>
            <w:gridSpan w:val="3"/>
            <w:tcBorders>
              <w:top w:val="single" w:color="auto" w:sz="4" w:space="0"/>
              <w:left w:val="single" w:color="auto" w:sz="4" w:space="0"/>
              <w:bottom w:val="single" w:color="auto" w:sz="4" w:space="0"/>
              <w:right w:val="single" w:color="auto" w:sz="4" w:space="0"/>
            </w:tcBorders>
            <w:vAlign w:val="center"/>
          </w:tcPr>
          <w:p>
            <w:pPr>
              <w:pStyle w:val="3"/>
              <w:spacing w:line="240" w:lineRule="auto"/>
              <w:ind w:firstLine="0" w:firstLineChars="0"/>
              <w:rPr>
                <w:rFonts w:ascii="宋体" w:hAnsi="宋体" w:eastAsia="宋体"/>
                <w:kern w:val="2"/>
                <w:sz w:val="21"/>
                <w:szCs w:val="21"/>
              </w:rPr>
            </w:pPr>
            <w:r>
              <w:rPr>
                <w:rFonts w:hint="eastAsia" w:ascii="宋体" w:hAnsi="宋体" w:eastAsia="宋体"/>
                <w:kern w:val="2"/>
                <w:sz w:val="21"/>
                <w:szCs w:val="21"/>
              </w:rPr>
              <w:t>执行GB1351—2008二级小麦标准，质量检测主要指标达到：容重≥770g/L, 不完善粒≤6%，杂质总量≤1%，水分≤12.5%，色泽、气味正常,无虫害，符合国家粮食卫生标准，脱氧雪腐镰刀菌烯醇(呕吐毒素) ≤1000μg/kg。</w:t>
            </w:r>
          </w:p>
        </w:tc>
      </w:tr>
    </w:tbl>
    <w:p>
      <w:pPr>
        <w:autoSpaceDE w:val="0"/>
        <w:autoSpaceDN w:val="0"/>
        <w:adjustRightInd w:val="0"/>
        <w:spacing w:line="320" w:lineRule="exact"/>
        <w:ind w:firstLine="472" w:firstLineChars="196"/>
        <w:rPr>
          <w:rFonts w:ascii="宋体" w:hAnsi="宋体"/>
          <w:kern w:val="0"/>
          <w:sz w:val="24"/>
        </w:rPr>
      </w:pPr>
      <w:r>
        <w:rPr>
          <w:rFonts w:hint="eastAsia" w:ascii="宋体" w:hAnsi="宋体"/>
          <w:b/>
          <w:bCs/>
          <w:sz w:val="24"/>
        </w:rPr>
        <w:t>二、验收交货方式：</w:t>
      </w:r>
      <w:r>
        <w:rPr>
          <w:rFonts w:hint="eastAsia" w:ascii="宋体" w:hAnsi="宋体"/>
          <w:sz w:val="24"/>
        </w:rPr>
        <w:t>买方按国标规定的粮食检验办法和操作规程进行验质，以技术监督部门检验合格的计量工具进行验斤，</w:t>
      </w:r>
      <w:r>
        <w:rPr>
          <w:rFonts w:hint="eastAsia" w:ascii="宋体" w:hAnsi="宋体"/>
          <w:kern w:val="0"/>
          <w:sz w:val="24"/>
        </w:rPr>
        <w:t>由买方验质合格后并过磅</w:t>
      </w:r>
      <w:r>
        <w:rPr>
          <w:rFonts w:hint="eastAsia" w:ascii="宋体" w:hAnsi="宋体"/>
          <w:kern w:val="0"/>
          <w:sz w:val="28"/>
          <w:szCs w:val="28"/>
        </w:rPr>
        <w:t>，</w:t>
      </w:r>
      <w:r>
        <w:rPr>
          <w:rFonts w:hint="eastAsia" w:ascii="宋体" w:hAnsi="宋体"/>
          <w:kern w:val="0"/>
          <w:sz w:val="24"/>
        </w:rPr>
        <w:t>粮食运到指定仓库</w:t>
      </w:r>
      <w:r>
        <w:rPr>
          <w:rFonts w:hint="eastAsia" w:ascii="宋体" w:hAnsi="宋体"/>
          <w:bCs/>
          <w:kern w:val="0"/>
          <w:sz w:val="24"/>
        </w:rPr>
        <w:t>除杂</w:t>
      </w:r>
      <w:r>
        <w:rPr>
          <w:rFonts w:hint="eastAsia" w:ascii="宋体" w:hAnsi="宋体"/>
          <w:kern w:val="0"/>
          <w:sz w:val="24"/>
        </w:rPr>
        <w:t>进仓，杂质回皮,买方出具入库凭证。入库粮食</w:t>
      </w:r>
      <w:r>
        <w:rPr>
          <w:rFonts w:hint="eastAsia" w:ascii="宋体" w:hAnsi="宋体"/>
          <w:sz w:val="24"/>
        </w:rPr>
        <w:t>如果质量不符合本合同约定质量标准的或发现混有其他生产年份的小麦，买方有权不予接收，货物由卖方自行处理，并承担所发生费用。仓库除杂进仓，杂质1.5%及以上的，买方不予接收。如粮食入库后呕吐毒素指标检测不合格，买方一律退货，由卖方承担所发生的费用。严禁卖方将走私农产品流入国家粮食储备体系，一经发现将对违法违规企业由有关部门作出严肃处理。</w:t>
      </w:r>
      <w:r>
        <w:rPr>
          <w:rFonts w:hint="eastAsia" w:ascii="宋体" w:hAnsi="宋体"/>
          <w:kern w:val="0"/>
          <w:sz w:val="24"/>
        </w:rPr>
        <w:t>卖方需向买方提供《粮食质量安全信用承诺书》。</w:t>
      </w:r>
    </w:p>
    <w:p>
      <w:pPr>
        <w:autoSpaceDE w:val="0"/>
        <w:autoSpaceDN w:val="0"/>
        <w:adjustRightInd w:val="0"/>
        <w:spacing w:line="320" w:lineRule="exact"/>
        <w:ind w:firstLine="354" w:firstLineChars="147"/>
        <w:rPr>
          <w:rFonts w:ascii="宋体" w:hAnsi="宋体"/>
          <w:color w:val="FF0000"/>
          <w:kern w:val="0"/>
          <w:sz w:val="24"/>
        </w:rPr>
      </w:pPr>
      <w:r>
        <w:rPr>
          <w:rFonts w:hint="eastAsia" w:ascii="宋体" w:hAnsi="宋体"/>
          <w:b/>
          <w:bCs/>
          <w:sz w:val="24"/>
        </w:rPr>
        <w:t>三、费用承担：</w:t>
      </w:r>
      <w:r>
        <w:rPr>
          <w:rFonts w:hint="eastAsia" w:ascii="宋体" w:hAnsi="宋体"/>
          <w:color w:val="000000" w:themeColor="text1"/>
          <w:kern w:val="0"/>
          <w:sz w:val="24"/>
          <w14:textFill>
            <w14:solidFill>
              <w14:schemeClr w14:val="tx1"/>
            </w14:solidFill>
          </w14:textFill>
        </w:rPr>
        <w:t>成交价为仓库车板交货价，入仓时由买方与有资质的第三方劳务装卸服务公司签订劳务费用支付合同及作业安全管理协议，卸车入库过程中产生的费用由买方承担。买方向卖方收取30元/吨的入仓服务费（</w:t>
      </w:r>
      <w:r>
        <w:rPr>
          <w:rFonts w:hint="eastAsia" w:ascii="宋体" w:hAnsi="宋体"/>
          <w:color w:val="000000" w:themeColor="text1"/>
          <w:sz w:val="24"/>
          <w14:textFill>
            <w14:solidFill>
              <w14:schemeClr w14:val="tx1"/>
            </w14:solidFill>
          </w14:textFill>
        </w:rPr>
        <w:t>含装卸搬运费、</w:t>
      </w:r>
      <w:r>
        <w:rPr>
          <w:rFonts w:hint="eastAsia" w:ascii="宋体" w:hAnsi="宋体"/>
          <w:color w:val="000000" w:themeColor="text1"/>
          <w:kern w:val="0"/>
          <w:sz w:val="24"/>
          <w14:textFill>
            <w14:solidFill>
              <w14:schemeClr w14:val="tx1"/>
            </w14:solidFill>
          </w14:textFill>
        </w:rPr>
        <w:t>设备使用费、水电费、过磅费、整理清扫费、</w:t>
      </w:r>
      <w:r>
        <w:rPr>
          <w:rFonts w:hint="eastAsia" w:ascii="宋体" w:hAnsi="宋体"/>
          <w:color w:val="000000" w:themeColor="text1"/>
          <w:sz w:val="24"/>
          <w14:textFill>
            <w14:solidFill>
              <w14:schemeClr w14:val="tx1"/>
            </w14:solidFill>
          </w14:textFill>
        </w:rPr>
        <w:t>粮面整平费、</w:t>
      </w:r>
      <w:r>
        <w:rPr>
          <w:rFonts w:hint="eastAsia" w:ascii="宋体" w:hAnsi="宋体"/>
          <w:color w:val="000000" w:themeColor="text1"/>
          <w:kern w:val="0"/>
          <w:sz w:val="24"/>
          <w14:textFill>
            <w14:solidFill>
              <w14:schemeClr w14:val="tx1"/>
            </w14:solidFill>
          </w14:textFill>
        </w:rPr>
        <w:t>入库期间管理费</w:t>
      </w:r>
      <w:r>
        <w:rPr>
          <w:rFonts w:hint="eastAsia" w:ascii="宋体" w:hAnsi="宋体"/>
          <w:color w:val="000000" w:themeColor="text1"/>
          <w:kern w:val="0"/>
          <w:sz w:val="24"/>
          <w:lang w:eastAsia="zh-CN"/>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w:t>
      </w:r>
    </w:p>
    <w:p>
      <w:pPr>
        <w:autoSpaceDE w:val="0"/>
        <w:autoSpaceDN w:val="0"/>
        <w:adjustRightInd w:val="0"/>
        <w:spacing w:line="320" w:lineRule="exact"/>
        <w:ind w:firstLine="482" w:firstLineChars="200"/>
        <w:rPr>
          <w:rFonts w:ascii="宋体" w:hAnsi="宋体"/>
          <w:b/>
          <w:kern w:val="0"/>
          <w:sz w:val="24"/>
        </w:rPr>
      </w:pPr>
      <w:r>
        <w:rPr>
          <w:rFonts w:hint="eastAsia" w:ascii="宋体" w:hAnsi="宋体"/>
          <w:b/>
          <w:bCs/>
          <w:sz w:val="24"/>
        </w:rPr>
        <w:t>四、货款结算：</w:t>
      </w:r>
      <w:r>
        <w:rPr>
          <w:rFonts w:hint="eastAsia" w:ascii="宋体" w:hAnsi="宋体"/>
          <w:kern w:val="0"/>
          <w:sz w:val="24"/>
        </w:rPr>
        <w:t>粮食运到指定仓库并验收入库后，按实际进库数量，买方在农发行采购货款贷款中预付应付货款的80%，全部数量入库并经质量检验合格后，买方在收到卖方提供的有效销售发票后5个工作日内结清全部货款。</w:t>
      </w:r>
    </w:p>
    <w:p>
      <w:pPr>
        <w:pStyle w:val="4"/>
        <w:spacing w:line="320" w:lineRule="exact"/>
        <w:ind w:firstLine="482"/>
        <w:rPr>
          <w:rFonts w:ascii="宋体" w:hAnsi="宋体" w:eastAsia="宋体"/>
        </w:rPr>
      </w:pPr>
      <w:r>
        <w:rPr>
          <w:rFonts w:hint="eastAsia" w:ascii="宋体" w:hAnsi="宋体" w:eastAsia="宋体"/>
          <w:b/>
        </w:rPr>
        <w:t>五、结算凭证：</w:t>
      </w:r>
      <w:r>
        <w:rPr>
          <w:rFonts w:hint="eastAsia" w:ascii="宋体" w:hAnsi="宋体" w:eastAsia="宋体"/>
        </w:rPr>
        <w:t>卖方提供本单位开出的有效货物销售增值税专用发票。</w:t>
      </w:r>
    </w:p>
    <w:p>
      <w:pPr>
        <w:pStyle w:val="3"/>
        <w:spacing w:line="320" w:lineRule="exact"/>
        <w:ind w:firstLine="482"/>
        <w:rPr>
          <w:rFonts w:ascii="宋体" w:hAnsi="宋体" w:eastAsia="宋体"/>
          <w:sz w:val="24"/>
        </w:rPr>
      </w:pPr>
      <w:r>
        <w:rPr>
          <w:rFonts w:hint="eastAsia" w:ascii="宋体" w:hAnsi="宋体" w:eastAsia="宋体"/>
          <w:b/>
          <w:bCs/>
          <w:sz w:val="24"/>
        </w:rPr>
        <w:t>六、违约责任：</w:t>
      </w:r>
      <w:r>
        <w:rPr>
          <w:rFonts w:hint="eastAsia" w:ascii="宋体" w:hAnsi="宋体" w:eastAsia="宋体"/>
          <w:sz w:val="24"/>
        </w:rPr>
        <w:t>如有任何一方违约，违约部分保证金划归对方，并承担对方违约部分交易手续费，交易中心不承担经济责任。</w:t>
      </w:r>
    </w:p>
    <w:p>
      <w:pPr>
        <w:pStyle w:val="3"/>
        <w:spacing w:line="276" w:lineRule="auto"/>
        <w:ind w:firstLine="482"/>
        <w:rPr>
          <w:rFonts w:ascii="宋体" w:hAnsi="宋体" w:eastAsia="宋体"/>
          <w:sz w:val="24"/>
        </w:rPr>
      </w:pPr>
      <w:r>
        <w:rPr>
          <w:rFonts w:hint="eastAsia" w:ascii="宋体" w:hAnsi="宋体" w:eastAsia="宋体"/>
          <w:b/>
          <w:bCs/>
          <w:sz w:val="24"/>
        </w:rPr>
        <w:t>七、其他事项：</w:t>
      </w:r>
      <w:r>
        <w:rPr>
          <w:rFonts w:hint="eastAsia" w:ascii="宋体" w:hAnsi="宋体" w:eastAsia="宋体"/>
          <w:sz w:val="24"/>
        </w:rPr>
        <w:t>①卖方必须提供产粮地的有效质检证明。</w:t>
      </w:r>
    </w:p>
    <w:p>
      <w:pPr>
        <w:pStyle w:val="3"/>
        <w:spacing w:line="276" w:lineRule="auto"/>
        <w:ind w:firstLine="2160" w:firstLineChars="900"/>
        <w:rPr>
          <w:rFonts w:ascii="宋体" w:hAnsi="宋体" w:eastAsia="宋体"/>
          <w:b/>
          <w:bCs/>
          <w:sz w:val="24"/>
        </w:rPr>
      </w:pPr>
      <w:r>
        <w:rPr>
          <w:rFonts w:hint="eastAsia" w:ascii="宋体" w:hAnsi="宋体" w:eastAsia="宋体"/>
          <w:sz w:val="24"/>
        </w:rPr>
        <w:t>②卖方人员、车辆必须服从买方仓库的管理。</w:t>
      </w:r>
    </w:p>
    <w:p>
      <w:pPr>
        <w:autoSpaceDE w:val="0"/>
        <w:autoSpaceDN w:val="0"/>
        <w:adjustRightInd w:val="0"/>
        <w:spacing w:line="276" w:lineRule="auto"/>
        <w:ind w:firstLine="482" w:firstLineChars="200"/>
        <w:rPr>
          <w:rFonts w:ascii="宋体" w:hAnsi="宋体"/>
          <w:kern w:val="0"/>
          <w:sz w:val="24"/>
        </w:rPr>
      </w:pPr>
      <w:r>
        <w:rPr>
          <w:rFonts w:hint="eastAsia" w:ascii="宋体" w:hAnsi="宋体"/>
          <w:b/>
          <w:bCs/>
          <w:kern w:val="0"/>
          <w:sz w:val="24"/>
        </w:rPr>
        <w:t>八、争议解决：</w:t>
      </w:r>
    </w:p>
    <w:p>
      <w:pPr>
        <w:autoSpaceDE w:val="0"/>
        <w:autoSpaceDN w:val="0"/>
        <w:adjustRightInd w:val="0"/>
        <w:spacing w:line="276" w:lineRule="auto"/>
        <w:ind w:firstLine="480" w:firstLineChars="200"/>
        <w:rPr>
          <w:rFonts w:ascii="宋体" w:hAnsi="宋体"/>
          <w:kern w:val="0"/>
          <w:sz w:val="24"/>
        </w:rPr>
      </w:pPr>
      <w:r>
        <w:rPr>
          <w:rFonts w:hint="eastAsia" w:ascii="宋体" w:hAnsi="宋体"/>
          <w:kern w:val="0"/>
          <w:sz w:val="24"/>
        </w:rPr>
        <w:t>1、出现不明确责任情况，由交易中心协调解决；</w:t>
      </w:r>
    </w:p>
    <w:p>
      <w:pPr>
        <w:autoSpaceDE w:val="0"/>
        <w:autoSpaceDN w:val="0"/>
        <w:adjustRightInd w:val="0"/>
        <w:spacing w:line="276" w:lineRule="auto"/>
        <w:ind w:firstLine="480" w:firstLineChars="200"/>
        <w:rPr>
          <w:rFonts w:ascii="宋体" w:hAnsi="宋体"/>
          <w:kern w:val="0"/>
          <w:sz w:val="24"/>
        </w:rPr>
      </w:pPr>
      <w:r>
        <w:rPr>
          <w:rFonts w:hint="eastAsia" w:ascii="宋体" w:hAnsi="宋体"/>
          <w:kern w:val="0"/>
          <w:sz w:val="24"/>
        </w:rPr>
        <w:t>2、卖方逾期交货（含因质量不合格被买方拒收造成的逾期交货），逾期供货超过10—20天，每逾期一天，按逾期交货总金额的0.2%向买方支付滞纳金；</w:t>
      </w:r>
      <w:r>
        <w:rPr>
          <w:rFonts w:hint="eastAsia" w:ascii="宋体" w:hAnsi="宋体"/>
          <w:sz w:val="24"/>
        </w:rPr>
        <w:t>超过21天的，由交易中心通知卖方停止供货，并按50元/吨扣罚中标单位逾期费</w:t>
      </w:r>
      <w:r>
        <w:rPr>
          <w:rFonts w:hint="eastAsia" w:ascii="宋体" w:hAnsi="宋体"/>
          <w:kern w:val="0"/>
          <w:sz w:val="24"/>
        </w:rPr>
        <w:t>。由于不可抗力原因导致卖方逾期交货，卖方应在一周内向买方及交易中心报告，说明货物受阻、受影响数量等情况，经交易中心核实，并征得买方同意后，买卖双方签订补充协议，相应顺延合同履行期限。</w:t>
      </w:r>
    </w:p>
    <w:p>
      <w:pPr>
        <w:autoSpaceDE w:val="0"/>
        <w:autoSpaceDN w:val="0"/>
        <w:adjustRightInd w:val="0"/>
        <w:spacing w:line="276" w:lineRule="auto"/>
        <w:ind w:firstLine="480" w:firstLineChars="200"/>
        <w:rPr>
          <w:rFonts w:ascii="宋体" w:hAnsi="宋体"/>
          <w:kern w:val="0"/>
          <w:sz w:val="24"/>
        </w:rPr>
      </w:pPr>
      <w:r>
        <w:rPr>
          <w:rFonts w:hint="eastAsia" w:ascii="宋体" w:hAnsi="宋体"/>
          <w:kern w:val="0"/>
          <w:sz w:val="24"/>
        </w:rPr>
        <w:t>3、卖方不得发出带有活虫的粮食，如买方收到粮食时，发现最严重部位每公斤样品中达到二头活虫的即视为虫粮，只有一头活虫的不作虫粮处理。买方必须对虫粮进行灭虫处理，因灭虫而产生的直接费用和造成的损失，按实际情况核算，由卖方承担。</w:t>
      </w:r>
    </w:p>
    <w:p>
      <w:pPr>
        <w:autoSpaceDE w:val="0"/>
        <w:autoSpaceDN w:val="0"/>
        <w:adjustRightInd w:val="0"/>
        <w:spacing w:line="276" w:lineRule="auto"/>
        <w:ind w:firstLine="480" w:firstLineChars="200"/>
        <w:rPr>
          <w:rFonts w:ascii="宋体" w:hAnsi="宋体"/>
          <w:kern w:val="0"/>
          <w:sz w:val="24"/>
        </w:rPr>
      </w:pPr>
      <w:r>
        <w:rPr>
          <w:rFonts w:hint="eastAsia" w:ascii="宋体" w:hAnsi="宋体"/>
          <w:kern w:val="0"/>
          <w:sz w:val="24"/>
        </w:rPr>
        <w:t>4、买卖双方如就质量问题发生争议，双方共同扦样并委托粮食产品质量监督检验机构检验鉴定，费用由责任方负担。</w:t>
      </w:r>
    </w:p>
    <w:p>
      <w:pPr>
        <w:autoSpaceDE w:val="0"/>
        <w:autoSpaceDN w:val="0"/>
        <w:adjustRightInd w:val="0"/>
        <w:spacing w:line="276" w:lineRule="auto"/>
        <w:ind w:firstLine="480" w:firstLineChars="200"/>
        <w:rPr>
          <w:rFonts w:ascii="宋体" w:hAnsi="宋体"/>
          <w:sz w:val="24"/>
        </w:rPr>
      </w:pPr>
      <w:r>
        <w:rPr>
          <w:rFonts w:hint="eastAsia" w:ascii="宋体" w:hAnsi="宋体"/>
          <w:kern w:val="0"/>
          <w:sz w:val="24"/>
        </w:rPr>
        <w:t>5、</w:t>
      </w:r>
      <w:r>
        <w:rPr>
          <w:rFonts w:hint="eastAsia" w:ascii="宋体" w:hAnsi="宋体"/>
          <w:sz w:val="24"/>
        </w:rPr>
        <w:t>卖方提供的货物在仓内粮面整平后，抽样质量不符合规定的，货物由双方协商处理，余下货款额20%暂不支付，专项用于弥补处理不符合质量的货物的损失，余额部分再支付卖方。</w:t>
      </w:r>
    </w:p>
    <w:p>
      <w:pPr>
        <w:autoSpaceDE w:val="0"/>
        <w:autoSpaceDN w:val="0"/>
        <w:adjustRightInd w:val="0"/>
        <w:spacing w:line="276" w:lineRule="auto"/>
        <w:ind w:firstLine="482" w:firstLineChars="200"/>
        <w:rPr>
          <w:rFonts w:ascii="宋体" w:hAnsi="宋体"/>
          <w:b/>
          <w:bCs/>
          <w:kern w:val="0"/>
          <w:sz w:val="24"/>
        </w:rPr>
      </w:pPr>
      <w:r>
        <w:rPr>
          <w:rFonts w:hint="eastAsia" w:ascii="宋体" w:hAnsi="宋体"/>
          <w:b/>
          <w:bCs/>
          <w:kern w:val="0"/>
          <w:sz w:val="24"/>
        </w:rPr>
        <w:t>九、</w:t>
      </w:r>
      <w:r>
        <w:rPr>
          <w:rFonts w:hint="eastAsia" w:ascii="宋体" w:hAnsi="宋体"/>
          <w:kern w:val="0"/>
          <w:sz w:val="24"/>
        </w:rPr>
        <w:t>本合同自签订之日起生效，双方履行完毕后，自然终止。</w:t>
      </w:r>
    </w:p>
    <w:p>
      <w:pPr>
        <w:autoSpaceDE w:val="0"/>
        <w:autoSpaceDN w:val="0"/>
        <w:adjustRightInd w:val="0"/>
        <w:spacing w:line="276" w:lineRule="auto"/>
        <w:ind w:firstLine="482" w:firstLineChars="200"/>
        <w:rPr>
          <w:rFonts w:ascii="宋体" w:hAnsi="宋体"/>
          <w:b/>
          <w:bCs/>
          <w:kern w:val="0"/>
          <w:sz w:val="24"/>
        </w:rPr>
      </w:pPr>
      <w:r>
        <w:rPr>
          <w:rFonts w:hint="eastAsia" w:ascii="宋体" w:hAnsi="宋体"/>
          <w:b/>
          <w:bCs/>
          <w:kern w:val="0"/>
          <w:sz w:val="24"/>
        </w:rPr>
        <w:t>十、</w:t>
      </w:r>
      <w:r>
        <w:rPr>
          <w:rFonts w:hint="eastAsia" w:ascii="宋体" w:hAnsi="宋体"/>
          <w:kern w:val="0"/>
          <w:sz w:val="24"/>
        </w:rPr>
        <w:t>如有未尽事宜，买卖双方同意按照《梅州市嘉应粮食交易中心竞价交易规则》、《梅州市嘉应粮食交易中心竞价交易细则》的相关条款协商解决。协商不成的，提交有关部门或通过法律程序解决。</w:t>
      </w:r>
    </w:p>
    <w:p>
      <w:pPr>
        <w:autoSpaceDE w:val="0"/>
        <w:autoSpaceDN w:val="0"/>
        <w:adjustRightInd w:val="0"/>
        <w:spacing w:line="276" w:lineRule="auto"/>
        <w:ind w:firstLine="482" w:firstLineChars="200"/>
        <w:rPr>
          <w:rFonts w:ascii="宋体" w:hAnsi="宋体"/>
          <w:kern w:val="0"/>
          <w:sz w:val="24"/>
        </w:rPr>
      </w:pPr>
      <w:r>
        <w:rPr>
          <w:rFonts w:hint="eastAsia" w:ascii="宋体" w:hAnsi="宋体"/>
          <w:b/>
          <w:bCs/>
          <w:kern w:val="0"/>
          <w:sz w:val="24"/>
        </w:rPr>
        <w:t>十一、</w:t>
      </w:r>
      <w:r>
        <w:rPr>
          <w:rFonts w:hint="eastAsia" w:ascii="宋体" w:hAnsi="宋体"/>
          <w:kern w:val="0"/>
          <w:sz w:val="24"/>
        </w:rPr>
        <w:t>因疫情防控需要，卖方人员及货运司机必须配合买方疫情防控工作相关要求。</w:t>
      </w:r>
    </w:p>
    <w:p>
      <w:pPr>
        <w:autoSpaceDE w:val="0"/>
        <w:autoSpaceDN w:val="0"/>
        <w:adjustRightInd w:val="0"/>
        <w:spacing w:line="276" w:lineRule="auto"/>
        <w:ind w:firstLine="482" w:firstLineChars="200"/>
        <w:rPr>
          <w:rFonts w:ascii="宋体" w:hAnsi="宋体"/>
          <w:kern w:val="0"/>
          <w:sz w:val="24"/>
        </w:rPr>
      </w:pPr>
      <w:r>
        <w:rPr>
          <w:rFonts w:hint="eastAsia" w:ascii="宋体" w:hAnsi="宋体"/>
          <w:b/>
          <w:kern w:val="0"/>
          <w:sz w:val="24"/>
        </w:rPr>
        <w:t>十二、</w:t>
      </w:r>
      <w:r>
        <w:rPr>
          <w:rFonts w:hint="eastAsia" w:ascii="宋体" w:hAnsi="宋体"/>
          <w:kern w:val="0"/>
          <w:sz w:val="24"/>
        </w:rPr>
        <w:t>本合同一式三份，买卖双方、确认单位各执一份。</w:t>
      </w:r>
    </w:p>
    <w:p>
      <w:pPr>
        <w:autoSpaceDE w:val="0"/>
        <w:autoSpaceDN w:val="0"/>
        <w:adjustRightInd w:val="0"/>
        <w:spacing w:line="276" w:lineRule="auto"/>
        <w:ind w:firstLine="480" w:firstLineChars="200"/>
        <w:rPr>
          <w:rFonts w:ascii="宋体" w:hAnsi="宋体"/>
          <w:kern w:val="0"/>
          <w:sz w:val="24"/>
        </w:rPr>
      </w:pPr>
    </w:p>
    <w:p>
      <w:pPr>
        <w:autoSpaceDE w:val="0"/>
        <w:autoSpaceDN w:val="0"/>
        <w:adjustRightInd w:val="0"/>
        <w:spacing w:line="460" w:lineRule="exact"/>
        <w:rPr>
          <w:rFonts w:ascii="宋体" w:hAnsi="宋体"/>
          <w:kern w:val="0"/>
          <w:sz w:val="24"/>
        </w:rPr>
      </w:pPr>
      <w:r>
        <w:rPr>
          <w:rFonts w:hint="eastAsia" w:ascii="宋体" w:hAnsi="宋体"/>
          <w:kern w:val="0"/>
          <w:sz w:val="24"/>
        </w:rPr>
        <w:t xml:space="preserve">买方单位（盖章）：                  卖方单位（盖章）： </w:t>
      </w:r>
    </w:p>
    <w:p>
      <w:pPr>
        <w:autoSpaceDE w:val="0"/>
        <w:autoSpaceDN w:val="0"/>
        <w:adjustRightInd w:val="0"/>
        <w:spacing w:line="460" w:lineRule="exact"/>
        <w:rPr>
          <w:rFonts w:ascii="宋体" w:hAnsi="宋体"/>
          <w:kern w:val="0"/>
          <w:sz w:val="24"/>
        </w:rPr>
      </w:pPr>
    </w:p>
    <w:p>
      <w:pPr>
        <w:autoSpaceDE w:val="0"/>
        <w:autoSpaceDN w:val="0"/>
        <w:adjustRightInd w:val="0"/>
        <w:spacing w:line="460" w:lineRule="exact"/>
        <w:rPr>
          <w:rFonts w:ascii="宋体" w:hAnsi="宋体"/>
          <w:kern w:val="0"/>
          <w:sz w:val="24"/>
        </w:rPr>
      </w:pPr>
      <w:r>
        <w:rPr>
          <w:rFonts w:hint="eastAsia" w:ascii="宋体" w:hAnsi="宋体"/>
          <w:kern w:val="0"/>
          <w:sz w:val="24"/>
        </w:rPr>
        <w:t>法人或代理人（签字）：              法人或代理人（签字）：</w:t>
      </w:r>
    </w:p>
    <w:p>
      <w:pPr>
        <w:spacing w:line="500" w:lineRule="exact"/>
        <w:rPr>
          <w:rFonts w:ascii="宋体" w:hAnsi="宋体"/>
          <w:kern w:val="0"/>
          <w:sz w:val="24"/>
        </w:rPr>
      </w:pPr>
      <w:r>
        <w:rPr>
          <w:rFonts w:hint="eastAsia" w:ascii="宋体" w:hAnsi="宋体"/>
          <w:kern w:val="0"/>
          <w:sz w:val="24"/>
        </w:rPr>
        <w:t>电话：0753-2128912</w:t>
      </w:r>
    </w:p>
    <w:p>
      <w:pPr>
        <w:spacing w:line="500" w:lineRule="exact"/>
        <w:rPr>
          <w:rFonts w:ascii="宋体" w:hAnsi="宋体"/>
          <w:kern w:val="0"/>
          <w:sz w:val="24"/>
        </w:rPr>
      </w:pPr>
      <w:r>
        <w:rPr>
          <w:rFonts w:hint="eastAsia" w:ascii="宋体" w:hAnsi="宋体"/>
          <w:kern w:val="0"/>
          <w:sz w:val="24"/>
        </w:rPr>
        <w:t>传真</w:t>
      </w:r>
      <w:r>
        <w:rPr>
          <w:rFonts w:hint="eastAsia" w:ascii="宋体" w:hAnsi="宋体"/>
          <w:sz w:val="24"/>
        </w:rPr>
        <w:t>：0753-2128912</w:t>
      </w:r>
    </w:p>
    <w:p>
      <w:pPr>
        <w:spacing w:line="500" w:lineRule="exact"/>
        <w:rPr>
          <w:rFonts w:ascii="宋体" w:hAnsi="宋体"/>
          <w:kern w:val="0"/>
          <w:sz w:val="24"/>
        </w:rPr>
      </w:pPr>
    </w:p>
    <w:p>
      <w:pPr>
        <w:spacing w:line="500" w:lineRule="exact"/>
        <w:rPr>
          <w:rFonts w:ascii="宋体" w:hAnsi="宋体"/>
          <w:sz w:val="24"/>
        </w:rPr>
      </w:pPr>
      <w:r>
        <w:rPr>
          <w:rFonts w:hint="eastAsia" w:ascii="宋体" w:hAnsi="宋体"/>
          <w:sz w:val="24"/>
        </w:rPr>
        <w:t>确认单位：梅州市嘉应粮食交易中心有限公司</w:t>
      </w:r>
    </w:p>
    <w:p>
      <w:pPr>
        <w:spacing w:line="500" w:lineRule="exact"/>
        <w:rPr>
          <w:rFonts w:ascii="宋体" w:hAnsi="宋体"/>
          <w:sz w:val="24"/>
        </w:rPr>
      </w:pPr>
      <w:r>
        <w:rPr>
          <w:rFonts w:hint="eastAsia" w:ascii="宋体" w:hAnsi="宋体"/>
          <w:kern w:val="0"/>
          <w:sz w:val="24"/>
        </w:rPr>
        <w:t>电话（传真）</w:t>
      </w:r>
      <w:r>
        <w:rPr>
          <w:rFonts w:hint="eastAsia" w:ascii="宋体" w:hAnsi="宋体"/>
          <w:sz w:val="24"/>
        </w:rPr>
        <w:t xml:space="preserve">：0753-2128232    0753-2128231 </w:t>
      </w:r>
      <w:bookmarkStart w:id="0" w:name="_GoBack"/>
      <w:bookmarkEnd w:id="0"/>
      <w:r>
        <w:rPr>
          <w:rFonts w:hint="eastAsia" w:ascii="宋体" w:hAnsi="宋体"/>
          <w:sz w:val="24"/>
        </w:rPr>
        <w:t xml:space="preserve">    </w:t>
      </w:r>
    </w:p>
    <w:p>
      <w:pPr>
        <w:spacing w:line="500" w:lineRule="exact"/>
        <w:jc w:val="right"/>
        <w:rPr>
          <w:rFonts w:ascii="宋体" w:hAnsi="宋体"/>
          <w:sz w:val="24"/>
        </w:rPr>
      </w:pPr>
      <w:r>
        <w:rPr>
          <w:rFonts w:hint="eastAsia" w:ascii="宋体" w:hAnsi="宋体"/>
          <w:sz w:val="24"/>
        </w:rPr>
        <w:t>2022年XXX　月XXX　日</w:t>
      </w:r>
    </w:p>
    <w:sectPr>
      <w:headerReference r:id="rId3" w:type="default"/>
      <w:footerReference r:id="rId4" w:type="default"/>
      <w:footerReference r:id="rId5" w:type="even"/>
      <w:pgSz w:w="11906" w:h="16838"/>
      <w:pgMar w:top="1191" w:right="1418" w:bottom="1247" w:left="175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yNWUwOGMxODM4MzVlMTU0NGRjYWZmN2E3MDRhNGMifQ=="/>
  </w:docVars>
  <w:rsids>
    <w:rsidRoot w:val="00497FD1"/>
    <w:rsid w:val="0000037E"/>
    <w:rsid w:val="000035F7"/>
    <w:rsid w:val="000058F1"/>
    <w:rsid w:val="0001202F"/>
    <w:rsid w:val="000152E6"/>
    <w:rsid w:val="000157C8"/>
    <w:rsid w:val="00020B52"/>
    <w:rsid w:val="0002691A"/>
    <w:rsid w:val="00033F51"/>
    <w:rsid w:val="000349A5"/>
    <w:rsid w:val="00045121"/>
    <w:rsid w:val="000624FC"/>
    <w:rsid w:val="00072BAD"/>
    <w:rsid w:val="00074864"/>
    <w:rsid w:val="00077F84"/>
    <w:rsid w:val="00090ABE"/>
    <w:rsid w:val="00094F2B"/>
    <w:rsid w:val="00096B25"/>
    <w:rsid w:val="000A0633"/>
    <w:rsid w:val="000A4A9B"/>
    <w:rsid w:val="000B0E83"/>
    <w:rsid w:val="000C5481"/>
    <w:rsid w:val="000F3F4B"/>
    <w:rsid w:val="00100FE5"/>
    <w:rsid w:val="001035B8"/>
    <w:rsid w:val="00110D01"/>
    <w:rsid w:val="00111327"/>
    <w:rsid w:val="00113892"/>
    <w:rsid w:val="001152CA"/>
    <w:rsid w:val="001273E8"/>
    <w:rsid w:val="0013605A"/>
    <w:rsid w:val="001431E1"/>
    <w:rsid w:val="00143C5C"/>
    <w:rsid w:val="00152DA2"/>
    <w:rsid w:val="00184CAB"/>
    <w:rsid w:val="00194632"/>
    <w:rsid w:val="0019661D"/>
    <w:rsid w:val="001A0993"/>
    <w:rsid w:val="001B6B5F"/>
    <w:rsid w:val="001C2629"/>
    <w:rsid w:val="001D579A"/>
    <w:rsid w:val="001E10AE"/>
    <w:rsid w:val="001E2B98"/>
    <w:rsid w:val="001E3CA3"/>
    <w:rsid w:val="001E594C"/>
    <w:rsid w:val="001F768A"/>
    <w:rsid w:val="00200335"/>
    <w:rsid w:val="00201245"/>
    <w:rsid w:val="002116A3"/>
    <w:rsid w:val="002203EE"/>
    <w:rsid w:val="00221ED0"/>
    <w:rsid w:val="002263BB"/>
    <w:rsid w:val="00230826"/>
    <w:rsid w:val="00234722"/>
    <w:rsid w:val="00256722"/>
    <w:rsid w:val="00265B18"/>
    <w:rsid w:val="00275E64"/>
    <w:rsid w:val="0029138D"/>
    <w:rsid w:val="002914C6"/>
    <w:rsid w:val="00297ADC"/>
    <w:rsid w:val="002C1323"/>
    <w:rsid w:val="002C67DE"/>
    <w:rsid w:val="002E0E68"/>
    <w:rsid w:val="002F26F5"/>
    <w:rsid w:val="002F5CB1"/>
    <w:rsid w:val="003038C8"/>
    <w:rsid w:val="00304C25"/>
    <w:rsid w:val="003210DD"/>
    <w:rsid w:val="00323542"/>
    <w:rsid w:val="00333BEE"/>
    <w:rsid w:val="00343AC6"/>
    <w:rsid w:val="00351E3A"/>
    <w:rsid w:val="00371CF7"/>
    <w:rsid w:val="003846F5"/>
    <w:rsid w:val="00385F2B"/>
    <w:rsid w:val="00391184"/>
    <w:rsid w:val="003950A2"/>
    <w:rsid w:val="003A760F"/>
    <w:rsid w:val="003B0C28"/>
    <w:rsid w:val="003B6694"/>
    <w:rsid w:val="003B7CBD"/>
    <w:rsid w:val="003C0010"/>
    <w:rsid w:val="003C1B0F"/>
    <w:rsid w:val="003D641E"/>
    <w:rsid w:val="003D66AA"/>
    <w:rsid w:val="003E051E"/>
    <w:rsid w:val="003E5E3D"/>
    <w:rsid w:val="003E5E84"/>
    <w:rsid w:val="003F44A2"/>
    <w:rsid w:val="003F7012"/>
    <w:rsid w:val="00403D33"/>
    <w:rsid w:val="0041467E"/>
    <w:rsid w:val="00432670"/>
    <w:rsid w:val="0043458D"/>
    <w:rsid w:val="0044051E"/>
    <w:rsid w:val="00460C08"/>
    <w:rsid w:val="00470F90"/>
    <w:rsid w:val="004812D8"/>
    <w:rsid w:val="00482960"/>
    <w:rsid w:val="004851E2"/>
    <w:rsid w:val="00497FD1"/>
    <w:rsid w:val="004A095E"/>
    <w:rsid w:val="004D787A"/>
    <w:rsid w:val="004E747F"/>
    <w:rsid w:val="004F2395"/>
    <w:rsid w:val="004F70D0"/>
    <w:rsid w:val="004F7206"/>
    <w:rsid w:val="004F74C3"/>
    <w:rsid w:val="005046F7"/>
    <w:rsid w:val="00511694"/>
    <w:rsid w:val="00537024"/>
    <w:rsid w:val="00547CD6"/>
    <w:rsid w:val="005534E2"/>
    <w:rsid w:val="0056124C"/>
    <w:rsid w:val="005644F2"/>
    <w:rsid w:val="00585AE5"/>
    <w:rsid w:val="005874E9"/>
    <w:rsid w:val="00594B32"/>
    <w:rsid w:val="005A266A"/>
    <w:rsid w:val="005B6590"/>
    <w:rsid w:val="005C6853"/>
    <w:rsid w:val="005E1815"/>
    <w:rsid w:val="005E658F"/>
    <w:rsid w:val="005F3B4B"/>
    <w:rsid w:val="00606DF5"/>
    <w:rsid w:val="006358E0"/>
    <w:rsid w:val="00644FB7"/>
    <w:rsid w:val="006507AA"/>
    <w:rsid w:val="00651C70"/>
    <w:rsid w:val="00656CEC"/>
    <w:rsid w:val="00656FAB"/>
    <w:rsid w:val="00672731"/>
    <w:rsid w:val="006736AA"/>
    <w:rsid w:val="00674CDB"/>
    <w:rsid w:val="00675E93"/>
    <w:rsid w:val="00676810"/>
    <w:rsid w:val="00677E8E"/>
    <w:rsid w:val="0068638E"/>
    <w:rsid w:val="0069039C"/>
    <w:rsid w:val="00690C82"/>
    <w:rsid w:val="00693432"/>
    <w:rsid w:val="006944B9"/>
    <w:rsid w:val="00695904"/>
    <w:rsid w:val="006A517B"/>
    <w:rsid w:val="006A7E40"/>
    <w:rsid w:val="006B79B7"/>
    <w:rsid w:val="006C06F8"/>
    <w:rsid w:val="006D1EDC"/>
    <w:rsid w:val="006D2D0A"/>
    <w:rsid w:val="006D4BF2"/>
    <w:rsid w:val="006D6917"/>
    <w:rsid w:val="007042E7"/>
    <w:rsid w:val="007073D7"/>
    <w:rsid w:val="007244E1"/>
    <w:rsid w:val="00727C6D"/>
    <w:rsid w:val="007505F7"/>
    <w:rsid w:val="00753619"/>
    <w:rsid w:val="007538F2"/>
    <w:rsid w:val="00756BA9"/>
    <w:rsid w:val="00762D9E"/>
    <w:rsid w:val="00781293"/>
    <w:rsid w:val="007A273F"/>
    <w:rsid w:val="007A2EC9"/>
    <w:rsid w:val="007A3877"/>
    <w:rsid w:val="007B3B44"/>
    <w:rsid w:val="007B7DAF"/>
    <w:rsid w:val="007D0C0F"/>
    <w:rsid w:val="007D3A9C"/>
    <w:rsid w:val="007D4AEC"/>
    <w:rsid w:val="007D71C0"/>
    <w:rsid w:val="007E1BB5"/>
    <w:rsid w:val="007E4470"/>
    <w:rsid w:val="007F4EC0"/>
    <w:rsid w:val="00803A12"/>
    <w:rsid w:val="0081372D"/>
    <w:rsid w:val="00816F5C"/>
    <w:rsid w:val="00840854"/>
    <w:rsid w:val="008661C4"/>
    <w:rsid w:val="00894724"/>
    <w:rsid w:val="00897A05"/>
    <w:rsid w:val="008A37EB"/>
    <w:rsid w:val="008A7532"/>
    <w:rsid w:val="008A7BCD"/>
    <w:rsid w:val="008B5853"/>
    <w:rsid w:val="008D249A"/>
    <w:rsid w:val="008D3092"/>
    <w:rsid w:val="008E5AC6"/>
    <w:rsid w:val="008F09A3"/>
    <w:rsid w:val="008F569B"/>
    <w:rsid w:val="0090171D"/>
    <w:rsid w:val="009022D6"/>
    <w:rsid w:val="00903759"/>
    <w:rsid w:val="00903780"/>
    <w:rsid w:val="009075B9"/>
    <w:rsid w:val="00907ADE"/>
    <w:rsid w:val="009168E4"/>
    <w:rsid w:val="009271FD"/>
    <w:rsid w:val="0093143A"/>
    <w:rsid w:val="00947862"/>
    <w:rsid w:val="0095021A"/>
    <w:rsid w:val="00960103"/>
    <w:rsid w:val="009624E9"/>
    <w:rsid w:val="00962F69"/>
    <w:rsid w:val="00974ABA"/>
    <w:rsid w:val="00982B1B"/>
    <w:rsid w:val="009841DB"/>
    <w:rsid w:val="0098781B"/>
    <w:rsid w:val="00997E5F"/>
    <w:rsid w:val="009B4746"/>
    <w:rsid w:val="009B727A"/>
    <w:rsid w:val="009C0410"/>
    <w:rsid w:val="009C1A33"/>
    <w:rsid w:val="009D1AF3"/>
    <w:rsid w:val="009E1C25"/>
    <w:rsid w:val="009F1556"/>
    <w:rsid w:val="009F1BE8"/>
    <w:rsid w:val="009F238F"/>
    <w:rsid w:val="009F6E54"/>
    <w:rsid w:val="009F7D0D"/>
    <w:rsid w:val="00A1109F"/>
    <w:rsid w:val="00A5661E"/>
    <w:rsid w:val="00A65FC5"/>
    <w:rsid w:val="00A6744F"/>
    <w:rsid w:val="00A75677"/>
    <w:rsid w:val="00A80C20"/>
    <w:rsid w:val="00A81D0C"/>
    <w:rsid w:val="00A84A52"/>
    <w:rsid w:val="00A86704"/>
    <w:rsid w:val="00A946A1"/>
    <w:rsid w:val="00A973C1"/>
    <w:rsid w:val="00AA23E3"/>
    <w:rsid w:val="00AB36EC"/>
    <w:rsid w:val="00AC111C"/>
    <w:rsid w:val="00AC437F"/>
    <w:rsid w:val="00AD09FB"/>
    <w:rsid w:val="00AD2773"/>
    <w:rsid w:val="00AD366C"/>
    <w:rsid w:val="00AF6B6A"/>
    <w:rsid w:val="00B01323"/>
    <w:rsid w:val="00B06CDC"/>
    <w:rsid w:val="00B10AB9"/>
    <w:rsid w:val="00B12E1F"/>
    <w:rsid w:val="00B13CBE"/>
    <w:rsid w:val="00B14AD9"/>
    <w:rsid w:val="00B172B6"/>
    <w:rsid w:val="00B22967"/>
    <w:rsid w:val="00B30583"/>
    <w:rsid w:val="00B30E77"/>
    <w:rsid w:val="00B40838"/>
    <w:rsid w:val="00B43DB3"/>
    <w:rsid w:val="00B441E4"/>
    <w:rsid w:val="00B4670E"/>
    <w:rsid w:val="00B47562"/>
    <w:rsid w:val="00B51907"/>
    <w:rsid w:val="00B51F50"/>
    <w:rsid w:val="00B559F6"/>
    <w:rsid w:val="00B56D77"/>
    <w:rsid w:val="00B71757"/>
    <w:rsid w:val="00B71D81"/>
    <w:rsid w:val="00B72FE7"/>
    <w:rsid w:val="00B75572"/>
    <w:rsid w:val="00B81DDB"/>
    <w:rsid w:val="00B83B3A"/>
    <w:rsid w:val="00B85595"/>
    <w:rsid w:val="00B91D67"/>
    <w:rsid w:val="00B948AD"/>
    <w:rsid w:val="00BB3F45"/>
    <w:rsid w:val="00BC36D9"/>
    <w:rsid w:val="00BC486A"/>
    <w:rsid w:val="00BC60F9"/>
    <w:rsid w:val="00BC7FE5"/>
    <w:rsid w:val="00BD24F5"/>
    <w:rsid w:val="00BD3BEB"/>
    <w:rsid w:val="00BD639F"/>
    <w:rsid w:val="00BF6531"/>
    <w:rsid w:val="00C13039"/>
    <w:rsid w:val="00C256A6"/>
    <w:rsid w:val="00C26A5E"/>
    <w:rsid w:val="00C36713"/>
    <w:rsid w:val="00C52187"/>
    <w:rsid w:val="00C66EA7"/>
    <w:rsid w:val="00C67EF0"/>
    <w:rsid w:val="00C703DA"/>
    <w:rsid w:val="00C7107C"/>
    <w:rsid w:val="00C83FB6"/>
    <w:rsid w:val="00C903BA"/>
    <w:rsid w:val="00C936A8"/>
    <w:rsid w:val="00CA46F9"/>
    <w:rsid w:val="00CB769B"/>
    <w:rsid w:val="00CD0183"/>
    <w:rsid w:val="00CD6992"/>
    <w:rsid w:val="00CD6AC1"/>
    <w:rsid w:val="00CE1889"/>
    <w:rsid w:val="00CE2620"/>
    <w:rsid w:val="00CE3257"/>
    <w:rsid w:val="00CE4D88"/>
    <w:rsid w:val="00D1010C"/>
    <w:rsid w:val="00D2111B"/>
    <w:rsid w:val="00D24989"/>
    <w:rsid w:val="00D24C2D"/>
    <w:rsid w:val="00D258A1"/>
    <w:rsid w:val="00D57136"/>
    <w:rsid w:val="00D5713F"/>
    <w:rsid w:val="00D652C4"/>
    <w:rsid w:val="00D73337"/>
    <w:rsid w:val="00D836D9"/>
    <w:rsid w:val="00D851E9"/>
    <w:rsid w:val="00D95A57"/>
    <w:rsid w:val="00D97003"/>
    <w:rsid w:val="00DA3629"/>
    <w:rsid w:val="00DB1AFF"/>
    <w:rsid w:val="00DE2C0F"/>
    <w:rsid w:val="00DE3463"/>
    <w:rsid w:val="00DE4060"/>
    <w:rsid w:val="00DF6020"/>
    <w:rsid w:val="00E07358"/>
    <w:rsid w:val="00E14A60"/>
    <w:rsid w:val="00E20EA5"/>
    <w:rsid w:val="00E219D2"/>
    <w:rsid w:val="00E23D58"/>
    <w:rsid w:val="00E40991"/>
    <w:rsid w:val="00E43966"/>
    <w:rsid w:val="00E512AF"/>
    <w:rsid w:val="00E533CC"/>
    <w:rsid w:val="00E54836"/>
    <w:rsid w:val="00E65B1A"/>
    <w:rsid w:val="00E80D78"/>
    <w:rsid w:val="00E81C52"/>
    <w:rsid w:val="00E827AD"/>
    <w:rsid w:val="00E85B2B"/>
    <w:rsid w:val="00E85C18"/>
    <w:rsid w:val="00EA2EC3"/>
    <w:rsid w:val="00EA39FC"/>
    <w:rsid w:val="00EA461C"/>
    <w:rsid w:val="00EB4FCE"/>
    <w:rsid w:val="00EC661D"/>
    <w:rsid w:val="00ED0D22"/>
    <w:rsid w:val="00ED2799"/>
    <w:rsid w:val="00ED33C3"/>
    <w:rsid w:val="00EE5BD4"/>
    <w:rsid w:val="00EE7F00"/>
    <w:rsid w:val="00F04283"/>
    <w:rsid w:val="00F07E67"/>
    <w:rsid w:val="00F116EF"/>
    <w:rsid w:val="00F1181B"/>
    <w:rsid w:val="00F158EB"/>
    <w:rsid w:val="00F240D2"/>
    <w:rsid w:val="00F27AF4"/>
    <w:rsid w:val="00F319FD"/>
    <w:rsid w:val="00F47AE9"/>
    <w:rsid w:val="00F550A9"/>
    <w:rsid w:val="00F60374"/>
    <w:rsid w:val="00F65396"/>
    <w:rsid w:val="00F71E49"/>
    <w:rsid w:val="00F76468"/>
    <w:rsid w:val="00F846DB"/>
    <w:rsid w:val="00F91909"/>
    <w:rsid w:val="00F97951"/>
    <w:rsid w:val="00FA47F0"/>
    <w:rsid w:val="00FA4CD3"/>
    <w:rsid w:val="00FA5CFD"/>
    <w:rsid w:val="00FA7059"/>
    <w:rsid w:val="00FB66D4"/>
    <w:rsid w:val="00FB7FBF"/>
    <w:rsid w:val="00FC4FB2"/>
    <w:rsid w:val="00FD3E4B"/>
    <w:rsid w:val="00FD61AB"/>
    <w:rsid w:val="00FD66C8"/>
    <w:rsid w:val="00FD7CC2"/>
    <w:rsid w:val="00FE2CDC"/>
    <w:rsid w:val="00FE3E6B"/>
    <w:rsid w:val="00FE68D5"/>
    <w:rsid w:val="00FF13D5"/>
    <w:rsid w:val="00FF1EC8"/>
    <w:rsid w:val="00FF4769"/>
    <w:rsid w:val="00FF7BDA"/>
    <w:rsid w:val="051143AD"/>
    <w:rsid w:val="05E2393C"/>
    <w:rsid w:val="07161D73"/>
    <w:rsid w:val="0908176D"/>
    <w:rsid w:val="0B9126F6"/>
    <w:rsid w:val="0D392F89"/>
    <w:rsid w:val="10CB02D8"/>
    <w:rsid w:val="118C0E6B"/>
    <w:rsid w:val="12135876"/>
    <w:rsid w:val="125C3356"/>
    <w:rsid w:val="1346135D"/>
    <w:rsid w:val="1857557B"/>
    <w:rsid w:val="1AFC7132"/>
    <w:rsid w:val="1C361544"/>
    <w:rsid w:val="20360172"/>
    <w:rsid w:val="215A0B39"/>
    <w:rsid w:val="225D7EDE"/>
    <w:rsid w:val="26095380"/>
    <w:rsid w:val="2A8E7BD6"/>
    <w:rsid w:val="2C1A571D"/>
    <w:rsid w:val="2ECE4DFA"/>
    <w:rsid w:val="2F584C39"/>
    <w:rsid w:val="31D670FA"/>
    <w:rsid w:val="323D01C2"/>
    <w:rsid w:val="33EC7386"/>
    <w:rsid w:val="36787D3F"/>
    <w:rsid w:val="37353CF1"/>
    <w:rsid w:val="3AF85F80"/>
    <w:rsid w:val="3C0D0169"/>
    <w:rsid w:val="3C856F5D"/>
    <w:rsid w:val="3D51466B"/>
    <w:rsid w:val="3F7756B9"/>
    <w:rsid w:val="40893FBC"/>
    <w:rsid w:val="408A516E"/>
    <w:rsid w:val="42776B9A"/>
    <w:rsid w:val="4389779A"/>
    <w:rsid w:val="43BB4ED7"/>
    <w:rsid w:val="456B20FC"/>
    <w:rsid w:val="48A47531"/>
    <w:rsid w:val="4AD229A4"/>
    <w:rsid w:val="4C4D38D7"/>
    <w:rsid w:val="4CC8609B"/>
    <w:rsid w:val="4E5649C1"/>
    <w:rsid w:val="505B0E92"/>
    <w:rsid w:val="5117647A"/>
    <w:rsid w:val="52275BA3"/>
    <w:rsid w:val="523B63BD"/>
    <w:rsid w:val="57D202A6"/>
    <w:rsid w:val="57FA74C5"/>
    <w:rsid w:val="5B822C91"/>
    <w:rsid w:val="603F27E3"/>
    <w:rsid w:val="60B20EBA"/>
    <w:rsid w:val="60B600C2"/>
    <w:rsid w:val="61200DE8"/>
    <w:rsid w:val="619A6C42"/>
    <w:rsid w:val="698741E4"/>
    <w:rsid w:val="6AD14CF6"/>
    <w:rsid w:val="71F226C2"/>
    <w:rsid w:val="7670311D"/>
    <w:rsid w:val="78063DE7"/>
    <w:rsid w:val="79D97FF7"/>
    <w:rsid w:val="7A047CE7"/>
    <w:rsid w:val="7AE02EFB"/>
    <w:rsid w:val="7F2B3B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2"/>
    <w:qFormat/>
    <w:uiPriority w:val="0"/>
    <w:pPr>
      <w:autoSpaceDE w:val="0"/>
      <w:autoSpaceDN w:val="0"/>
      <w:adjustRightInd w:val="0"/>
      <w:spacing w:line="500" w:lineRule="exact"/>
      <w:ind w:firstLine="560" w:firstLineChars="200"/>
    </w:pPr>
    <w:rPr>
      <w:rFonts w:ascii="仿宋_GB2312" w:eastAsia="仿宋_GB2312"/>
      <w:kern w:val="0"/>
      <w:sz w:val="28"/>
    </w:rPr>
  </w:style>
  <w:style w:type="paragraph" w:styleId="4">
    <w:name w:val="Body Text Indent 2"/>
    <w:basedOn w:val="1"/>
    <w:qFormat/>
    <w:uiPriority w:val="0"/>
    <w:pPr>
      <w:autoSpaceDE w:val="0"/>
      <w:autoSpaceDN w:val="0"/>
      <w:adjustRightInd w:val="0"/>
      <w:spacing w:line="460" w:lineRule="exact"/>
      <w:ind w:firstLine="480" w:firstLineChars="200"/>
    </w:pPr>
    <w:rPr>
      <w:rFonts w:ascii="仿宋_GB2312" w:eastAsia="仿宋_GB2312"/>
      <w:kern w:val="0"/>
      <w:sz w:val="24"/>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index 1"/>
    <w:basedOn w:val="1"/>
    <w:next w:val="1"/>
    <w:semiHidden/>
    <w:qFormat/>
    <w:uiPriority w:val="0"/>
  </w:style>
  <w:style w:type="character" w:styleId="11">
    <w:name w:val="page number"/>
    <w:basedOn w:val="10"/>
    <w:uiPriority w:val="0"/>
  </w:style>
  <w:style w:type="character" w:customStyle="1" w:styleId="12">
    <w:name w:val="正文文本缩进 Char"/>
    <w:basedOn w:val="10"/>
    <w:link w:val="3"/>
    <w:qFormat/>
    <w:uiPriority w:val="0"/>
    <w:rPr>
      <w:rFonts w:ascii="仿宋_GB2312" w:eastAsia="仿宋_GB2312"/>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770CA-6B38-4F80-9252-39D646C5F01E}">
  <ds:schemaRefs/>
</ds:datastoreItem>
</file>

<file path=docProps/app.xml><?xml version="1.0" encoding="utf-8"?>
<Properties xmlns="http://schemas.openxmlformats.org/officeDocument/2006/extended-properties" xmlns:vt="http://schemas.openxmlformats.org/officeDocument/2006/docPropsVTypes">
  <Template>Normal</Template>
  <Company>grain</Company>
  <Pages>4</Pages>
  <Words>589</Words>
  <Characters>3361</Characters>
  <Lines>28</Lines>
  <Paragraphs>7</Paragraphs>
  <TotalTime>7</TotalTime>
  <ScaleCrop>false</ScaleCrop>
  <LinksUpToDate>false</LinksUpToDate>
  <CharactersWithSpaces>3943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2022-08-29T11:52:00Z</dcterms:created>
  <dc:creator>hn</dc:creator>
  <cp:lastModifiedBy>Michael</cp:lastModifiedBy>
  <cp:lastPrinted>2021-09-08T03:18:00Z</cp:lastPrinted>
  <dcterms:modified xsi:type="dcterms:W3CDTF">2022-09-20T08:09:20Z</dcterms:modified>
  <dc:title>广东华南粮食中心批发市场</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720B19B018C042CAB036EED199D0EC6F</vt:lpwstr>
  </property>
</Properties>
</file>